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7807A"/>
          <w:sz w:val="26"/>
          <w:szCs w:val="26"/>
        </w:rPr>
        <w:t xml:space="preserve">Affordable Room Offer – Pavilion Court, Wembley</w:t>
      </w:r>
    </w:p>
    <w:p>
      <w:pPr>
        <w:spacing w:after="220"/>
      </w:pPr>
      <w:r>
        <w:rPr>
          <w:rFonts w:ascii="Calibri" w:cs="Calibri" w:eastAsia="Calibri" w:hAnsi="Calibri"/>
          <w:b/>
          <w:bCs/>
          <w:color w:val="17807A"/>
          <w:sz w:val="26"/>
          <w:szCs w:val="26"/>
        </w:rPr>
        <w:t xml:space="preserve">Terms &amp; Conditions</w:t>
      </w:r>
    </w:p>
    <w:p>
      <w:pPr>
        <w:spacing w:after="180"/>
      </w:pPr>
      <w:r>
        <w:rPr>
          <w:rFonts w:ascii="Calibri" w:cs="Calibri" w:eastAsia="Calibri" w:hAnsi="Calibri"/>
          <w:sz w:val="21"/>
          <w:szCs w:val="21"/>
        </w:rPr>
        <w:t xml:space="preserve">A limited number of affordable rooms are available at Pavilion Court, Wembley for the 2026/27 academic year at </w:t>
      </w:r>
      <w:r>
        <w:rPr>
          <w:rFonts w:ascii="Calibri" w:cs="Calibri" w:eastAsia="Calibri" w:hAnsi="Calibri"/>
          <w:b/>
          <w:bCs/>
          <w:sz w:val="21"/>
          <w:szCs w:val="21"/>
        </w:rPr>
        <w:t xml:space="preserve">£205 per week on a 51-week tenancy</w:t>
      </w:r>
      <w:r>
        <w:rPr>
          <w:rFonts w:ascii="Calibri" w:cs="Calibri" w:eastAsia="Calibri" w:hAnsi="Calibri"/>
          <w:sz w:val="21"/>
          <w:szCs w:val="21"/>
        </w:rPr>
        <w:t xml:space="preserve">. These rooms are reserved for students who are in receipt of the full, means-tested maintenance loan for 2026/27, awarded on the basis of their household financial circumstances.</w:t>
      </w:r>
    </w:p>
    <w:p>
      <w:pPr>
        <w:spacing w:after="220"/>
      </w:pPr>
      <w:r>
        <w:rPr>
          <w:rFonts w:ascii="Calibri" w:cs="Calibri" w:eastAsia="Calibri" w:hAnsi="Calibri"/>
          <w:sz w:val="21"/>
          <w:szCs w:val="21"/>
        </w:rPr>
        <w:t xml:space="preserve">Availability is limited and rooms are allocated on a first-come, first-served basis. To register your interest, please contact our Operations Support team at </w:t>
      </w:r>
      <w:hyperlink w:history="1" r:id="rIddjc0nojkr1a5uewhk-dsk">
        <w:r>
          <w:rPr>
            <w:rFonts w:ascii="Calibri" w:cs="Calibri" w:eastAsia="Calibri" w:hAnsi="Calibri"/>
            <w:color w:val="2E7D74"/>
            <w:sz w:val="21"/>
            <w:szCs w:val="21"/>
            <w:u w:val="single"/>
          </w:rPr>
          <w:t xml:space="preserve">operations@collegiate-ac.com</w:t>
        </w:r>
      </w:hyperlink>
      <w:r>
        <w:rPr>
          <w:rFonts w:ascii="Calibri" w:cs="Calibri" w:eastAsia="Calibri" w:hAnsi="Calibri"/>
          <w:sz w:val="21"/>
          <w:szCs w:val="21"/>
        </w:rPr>
        <w:t xml:space="preserve"> as soon as possible.</w:t>
      </w:r>
    </w:p>
    <w:p>
      <w:pPr>
        <w:pStyle w:val="ListParagraph"/>
        <w:numPr>
          <w:ilvl w:val="0"/>
          <w:numId w:val="2"/>
        </w:numPr>
        <w:spacing w:after="100" w:before="180"/>
      </w:pPr>
      <w:r>
        <w:rPr>
          <w:rFonts w:ascii="Calibri" w:cs="Calibri" w:eastAsia="Calibri" w:hAnsi="Calibri"/>
          <w:b/>
          <w:bCs/>
          <w:sz w:val="21"/>
          <w:szCs w:val="21"/>
        </w:rPr>
        <w:t xml:space="preserve">Eligibility</w:t>
      </w:r>
    </w:p>
    <w:p>
      <w:pPr>
        <w:spacing w:after="60"/>
        <w:ind w:left="720"/>
      </w:pPr>
      <w:r>
        <w:rPr>
          <w:rFonts w:ascii="Calibri" w:cs="Calibri" w:eastAsia="Calibri" w:hAnsi="Calibri"/>
          <w:b/>
          <w:bCs/>
          <w:sz w:val="21"/>
          <w:szCs w:val="21"/>
        </w:rPr>
        <w:t xml:space="preserve">This offer applies to:</w:t>
      </w:r>
    </w:p>
    <w:p>
      <w:pPr>
        <w:pStyle w:val="ListParagraph"/>
        <w:numPr>
          <w:ilvl w:val="0"/>
          <w:numId w:val="3"/>
        </w:numPr>
        <w:spacing w:after="60"/>
        <w:ind w:left="1080"/>
      </w:pPr>
      <w:r>
        <w:rPr>
          <w:rFonts w:ascii="Calibri" w:cs="Calibri" w:eastAsia="Calibri" w:hAnsi="Calibri"/>
          <w:sz w:val="21"/>
          <w:szCs w:val="21"/>
        </w:rPr>
        <w:t xml:space="preserve">Bookings for the 2026/27 academic year on a 51-week tenancy at Pavilion Court, Wembley.</w:t>
      </w:r>
    </w:p>
    <w:p>
      <w:pPr>
        <w:pStyle w:val="ListParagraph"/>
        <w:numPr>
          <w:ilvl w:val="0"/>
          <w:numId w:val="3"/>
        </w:numPr>
        <w:spacing w:after="60"/>
        <w:ind w:left="1080"/>
      </w:pPr>
      <w:r>
        <w:rPr>
          <w:rFonts w:ascii="Calibri" w:cs="Calibri" w:eastAsia="Calibri" w:hAnsi="Calibri"/>
          <w:sz w:val="21"/>
          <w:szCs w:val="21"/>
        </w:rPr>
        <w:t xml:space="preserve">Students in receipt of the full 2026/27 maintenance loan of </w:t>
      </w:r>
      <w:r>
        <w:rPr>
          <w:rFonts w:ascii="Calibri" w:cs="Calibri" w:eastAsia="Calibri" w:hAnsi="Calibri"/>
          <w:b/>
          <w:bCs/>
          <w:sz w:val="21"/>
          <w:szCs w:val="21"/>
        </w:rPr>
        <w:t xml:space="preserve">£14,135</w:t>
      </w:r>
      <w:r>
        <w:rPr>
          <w:rFonts w:ascii="Calibri" w:cs="Calibri" w:eastAsia="Calibri" w:hAnsi="Calibri"/>
          <w:sz w:val="21"/>
          <w:szCs w:val="21"/>
        </w:rPr>
        <w:t xml:space="preserve"> — the maximum award for a student living away from home in London — which is granted following means-testing of household income.</w:t>
      </w:r>
    </w:p>
    <w:p>
      <w:pPr>
        <w:pStyle w:val="ListParagraph"/>
        <w:numPr>
          <w:ilvl w:val="0"/>
          <w:numId w:val="3"/>
        </w:numPr>
        <w:spacing w:after="60"/>
        <w:ind w:left="1080"/>
      </w:pPr>
      <w:r>
        <w:rPr>
          <w:rFonts w:ascii="Calibri" w:cs="Calibri" w:eastAsia="Calibri" w:hAnsi="Calibri"/>
          <w:sz w:val="21"/>
          <w:szCs w:val="21"/>
        </w:rPr>
        <w:t xml:space="preserve">Both new applicants and returning Collegiate residents, provided they meet the financial-eligibility criteria and subject to availability.</w:t>
      </w:r>
    </w:p>
    <w:p>
      <w:pPr>
        <w:spacing w:after="60"/>
      </w:pPr>
    </w:p>
    <w:p>
      <w:pPr>
        <w:spacing w:after="60"/>
        <w:ind w:left="720"/>
      </w:pPr>
      <w:r>
        <w:rPr>
          <w:rFonts w:ascii="Calibri" w:cs="Calibri" w:eastAsia="Calibri" w:hAnsi="Calibri"/>
          <w:b/>
          <w:bCs/>
          <w:sz w:val="21"/>
          <w:szCs w:val="21"/>
        </w:rPr>
        <w:t xml:space="preserve">This offer does not apply to:</w:t>
      </w:r>
    </w:p>
    <w:p>
      <w:pPr>
        <w:pStyle w:val="ListParagraph"/>
        <w:numPr>
          <w:ilvl w:val="0"/>
          <w:numId w:val="3"/>
        </w:numPr>
        <w:spacing w:after="60"/>
        <w:ind w:left="1080"/>
      </w:pPr>
      <w:r>
        <w:rPr>
          <w:rFonts w:ascii="Calibri" w:cs="Calibri" w:eastAsia="Calibri" w:hAnsi="Calibri"/>
          <w:sz w:val="21"/>
          <w:szCs w:val="21"/>
        </w:rPr>
        <w:t xml:space="preserve">Students who are not receiving the full £14,135 maintenance loan for 2026/27.</w:t>
      </w:r>
    </w:p>
    <w:p>
      <w:pPr>
        <w:pStyle w:val="ListParagraph"/>
        <w:numPr>
          <w:ilvl w:val="0"/>
          <w:numId w:val="3"/>
        </w:numPr>
        <w:spacing w:after="60"/>
        <w:ind w:left="1080"/>
      </w:pPr>
      <w:r>
        <w:rPr>
          <w:rFonts w:ascii="Calibri" w:cs="Calibri" w:eastAsia="Calibri" w:hAnsi="Calibri"/>
          <w:sz w:val="21"/>
          <w:szCs w:val="21"/>
        </w:rPr>
        <w:t xml:space="preserve">Students unable to provide the required proof of eligibility (see section 2).</w:t>
      </w:r>
    </w:p>
    <w:p>
      <w:pPr>
        <w:pStyle w:val="ListParagraph"/>
        <w:numPr>
          <w:ilvl w:val="0"/>
          <w:numId w:val="3"/>
        </w:numPr>
        <w:spacing w:after="60"/>
        <w:ind w:left="1080"/>
      </w:pPr>
      <w:r>
        <w:rPr>
          <w:rFonts w:ascii="Calibri" w:cs="Calibri" w:eastAsia="Calibri" w:hAnsi="Calibri"/>
          <w:sz w:val="21"/>
          <w:szCs w:val="21"/>
        </w:rPr>
        <w:t xml:space="preserve">Short-term (less than 44 weeks) or semester tenancies.</w:t>
      </w:r>
    </w:p>
    <w:p>
      <w:pPr>
        <w:pStyle w:val="ListParagraph"/>
        <w:numPr>
          <w:ilvl w:val="0"/>
          <w:numId w:val="2"/>
        </w:numPr>
        <w:spacing w:after="100" w:before="180"/>
      </w:pPr>
      <w:r>
        <w:rPr>
          <w:rFonts w:ascii="Calibri" w:cs="Calibri" w:eastAsia="Calibri" w:hAnsi="Calibri"/>
          <w:b/>
          <w:bCs/>
          <w:sz w:val="21"/>
          <w:szCs w:val="21"/>
        </w:rPr>
        <w:t xml:space="preserve">Proof of eligibility</w:t>
      </w:r>
    </w:p>
    <w:p>
      <w:pPr>
        <w:pStyle w:val="ListParagraph"/>
        <w:numPr>
          <w:ilvl w:val="0"/>
          <w:numId w:val="3"/>
        </w:numPr>
        <w:spacing w:after="60"/>
        <w:ind w:left="1080"/>
      </w:pPr>
      <w:r>
        <w:rPr>
          <w:rFonts w:ascii="Calibri" w:cs="Calibri" w:eastAsia="Calibri" w:hAnsi="Calibri"/>
          <w:sz w:val="21"/>
          <w:szCs w:val="21"/>
        </w:rPr>
        <w:t xml:space="preserve">Students must provide a copy of their Student Finance maintenance loan document (entitlement / award letter) for the </w:t>
      </w:r>
      <w:r>
        <w:rPr>
          <w:rFonts w:ascii="Calibri" w:cs="Calibri" w:eastAsia="Calibri" w:hAnsi="Calibri"/>
          <w:b/>
          <w:bCs/>
          <w:sz w:val="21"/>
          <w:szCs w:val="21"/>
        </w:rPr>
        <w:t xml:space="preserve">2026/27 academic year</w:t>
      </w:r>
      <w:r>
        <w:rPr>
          <w:rFonts w:ascii="Calibri" w:cs="Calibri" w:eastAsia="Calibri" w:hAnsi="Calibri"/>
          <w:sz w:val="21"/>
          <w:szCs w:val="21"/>
        </w:rPr>
        <w:t xml:space="preserve">, clearly detailing the loan amount they will receive.</w:t>
      </w:r>
    </w:p>
    <w:p>
      <w:pPr>
        <w:pStyle w:val="ListParagraph"/>
        <w:numPr>
          <w:ilvl w:val="0"/>
          <w:numId w:val="3"/>
        </w:numPr>
        <w:spacing w:after="60"/>
        <w:ind w:left="1080"/>
      </w:pPr>
      <w:r>
        <w:rPr>
          <w:rFonts w:ascii="Calibri" w:cs="Calibri" w:eastAsia="Calibri" w:hAnsi="Calibri"/>
          <w:sz w:val="21"/>
          <w:szCs w:val="21"/>
        </w:rPr>
        <w:t xml:space="preserve">The document must show the student's name, the 2026/27 academic year, and confirm the full maintenance loan amount of £14,135.</w:t>
      </w:r>
    </w:p>
    <w:p>
      <w:pPr>
        <w:pStyle w:val="ListParagraph"/>
        <w:numPr>
          <w:ilvl w:val="0"/>
          <w:numId w:val="3"/>
        </w:numPr>
        <w:spacing w:after="60"/>
        <w:ind w:left="1080"/>
      </w:pPr>
      <w:r>
        <w:rPr>
          <w:rFonts w:ascii="Calibri" w:cs="Calibri" w:eastAsia="Calibri" w:hAnsi="Calibri"/>
          <w:sz w:val="21"/>
          <w:szCs w:val="21"/>
        </w:rPr>
        <w:t xml:space="preserve">Any additional means-tested grant documentation may also be requested to support the application.</w:t>
      </w:r>
    </w:p>
    <w:p>
      <w:pPr>
        <w:pStyle w:val="ListParagraph"/>
        <w:numPr>
          <w:ilvl w:val="0"/>
          <w:numId w:val="3"/>
        </w:numPr>
        <w:spacing w:after="60"/>
        <w:ind w:left="1080"/>
      </w:pPr>
      <w:r>
        <w:rPr>
          <w:rFonts w:ascii="Calibri" w:cs="Calibri" w:eastAsia="Calibri" w:hAnsi="Calibri"/>
          <w:sz w:val="21"/>
          <w:szCs w:val="21"/>
        </w:rPr>
        <w:t xml:space="preserve">Proof must be provided and verified before a room can be confirmed at the affordable rate.</w:t>
      </w:r>
    </w:p>
    <w:p>
      <w:pPr>
        <w:pStyle w:val="ListParagraph"/>
        <w:numPr>
          <w:ilvl w:val="0"/>
          <w:numId w:val="2"/>
        </w:numPr>
        <w:spacing w:after="100" w:before="180"/>
      </w:pPr>
      <w:r>
        <w:rPr>
          <w:rFonts w:ascii="Calibri" w:cs="Calibri" w:eastAsia="Calibri" w:hAnsi="Calibri"/>
          <w:b/>
          <w:bCs/>
          <w:sz w:val="21"/>
          <w:szCs w:val="21"/>
        </w:rPr>
        <w:t xml:space="preserve">How to secure a room</w:t>
      </w:r>
    </w:p>
    <w:p>
      <w:pPr>
        <w:pStyle w:val="ListParagraph"/>
        <w:numPr>
          <w:ilvl w:val="0"/>
          <w:numId w:val="3"/>
        </w:numPr>
        <w:spacing w:after="60"/>
        <w:ind w:left="1080"/>
      </w:pPr>
      <w:r>
        <w:rPr>
          <w:rFonts w:ascii="Calibri" w:cs="Calibri" w:eastAsia="Calibri" w:hAnsi="Calibri"/>
          <w:sz w:val="21"/>
          <w:szCs w:val="21"/>
        </w:rPr>
        <w:t xml:space="preserve">Availability is limited and rooms are offered on a first-come, first-served basis.</w:t>
      </w:r>
    </w:p>
    <w:p>
      <w:pPr>
        <w:pStyle w:val="ListParagraph"/>
        <w:numPr>
          <w:ilvl w:val="0"/>
          <w:numId w:val="3"/>
        </w:numPr>
        <w:spacing w:after="60"/>
        <w:ind w:left="1080"/>
      </w:pPr>
      <w:r>
        <w:rPr>
          <w:rFonts w:ascii="Calibri" w:cs="Calibri" w:eastAsia="Calibri" w:hAnsi="Calibri"/>
          <w:sz w:val="21"/>
          <w:szCs w:val="21"/>
        </w:rPr>
        <w:t xml:space="preserve">To enquire, contact the Operations Support team at </w:t>
      </w:r>
      <w:hyperlink w:history="1" r:id="rIdqvqnn4ohwkaeus-4pq72a">
        <w:r>
          <w:rPr>
            <w:rFonts w:ascii="Calibri" w:cs="Calibri" w:eastAsia="Calibri" w:hAnsi="Calibri"/>
            <w:color w:val="2E7D74"/>
            <w:sz w:val="21"/>
            <w:szCs w:val="21"/>
            <w:u w:val="single"/>
          </w:rPr>
          <w:t xml:space="preserve">operations@collegiate-ac.com</w:t>
        </w:r>
      </w:hyperlink>
      <w:r>
        <w:rPr>
          <w:rFonts w:ascii="Calibri" w:cs="Calibri" w:eastAsia="Calibri" w:hAnsi="Calibri"/>
          <w:sz w:val="21"/>
          <w:szCs w:val="21"/>
        </w:rPr>
        <w:t xml:space="preserve"> as early as possible.</w:t>
      </w:r>
    </w:p>
    <w:p>
      <w:pPr>
        <w:pStyle w:val="ListParagraph"/>
        <w:numPr>
          <w:ilvl w:val="0"/>
          <w:numId w:val="3"/>
        </w:numPr>
        <w:spacing w:after="60"/>
        <w:ind w:left="1080"/>
      </w:pPr>
      <w:r>
        <w:rPr>
          <w:rFonts w:ascii="Calibri" w:cs="Calibri" w:eastAsia="Calibri" w:hAnsi="Calibri"/>
          <w:sz w:val="21"/>
          <w:szCs w:val="21"/>
        </w:rPr>
        <w:t xml:space="preserve">The Operations Support team will verify the student's eligibility and supporting proof before confirming the booking at the £205 per week rate.</w:t>
      </w:r>
    </w:p>
    <w:p>
      <w:pPr>
        <w:pStyle w:val="ListParagraph"/>
        <w:numPr>
          <w:ilvl w:val="0"/>
          <w:numId w:val="3"/>
        </w:numPr>
        <w:spacing w:after="60"/>
        <w:ind w:left="1080"/>
      </w:pPr>
      <w:r>
        <w:rPr>
          <w:rFonts w:ascii="Calibri" w:cs="Calibri" w:eastAsia="Calibri" w:hAnsi="Calibri"/>
          <w:sz w:val="21"/>
          <w:szCs w:val="21"/>
        </w:rPr>
        <w:t xml:space="preserve">A room cannot be held or guaranteed until eligibility has been verified and the tenancy agreement completed.</w:t>
      </w:r>
    </w:p>
    <w:p>
      <w:pPr>
        <w:pStyle w:val="ListParagraph"/>
        <w:numPr>
          <w:ilvl w:val="0"/>
          <w:numId w:val="2"/>
        </w:numPr>
        <w:spacing w:after="100" w:before="180"/>
      </w:pPr>
      <w:r>
        <w:rPr>
          <w:rFonts w:ascii="Calibri" w:cs="Calibri" w:eastAsia="Calibri" w:hAnsi="Calibri"/>
          <w:b/>
          <w:bCs/>
          <w:sz w:val="21"/>
          <w:szCs w:val="21"/>
        </w:rPr>
        <w:t xml:space="preserve">Rent and tenancy</w:t>
      </w:r>
    </w:p>
    <w:p>
      <w:pPr>
        <w:pStyle w:val="ListParagraph"/>
        <w:numPr>
          <w:ilvl w:val="0"/>
          <w:numId w:val="3"/>
        </w:numPr>
        <w:spacing w:after="60"/>
        <w:ind w:left="1080"/>
      </w:pPr>
      <w:r>
        <w:rPr>
          <w:rFonts w:ascii="Calibri" w:cs="Calibri" w:eastAsia="Calibri" w:hAnsi="Calibri"/>
          <w:sz w:val="21"/>
          <w:szCs w:val="21"/>
        </w:rPr>
        <w:t xml:space="preserve">The affordable rate is £205 per week for a 51-week tenancy covering the 2026/27 academic year.</w:t>
      </w:r>
    </w:p>
    <w:p>
      <w:pPr>
        <w:pStyle w:val="ListParagraph"/>
        <w:numPr>
          <w:ilvl w:val="0"/>
          <w:numId w:val="3"/>
        </w:numPr>
        <w:spacing w:after="60"/>
        <w:ind w:left="1080"/>
      </w:pPr>
      <w:r>
        <w:rPr>
          <w:rFonts w:ascii="Calibri" w:cs="Calibri" w:eastAsia="Calibri" w:hAnsi="Calibri"/>
          <w:sz w:val="21"/>
          <w:szCs w:val="21"/>
        </w:rPr>
        <w:t xml:space="preserve">Once eligibility has been verified and the tenancy confirmed at the affordable rate, that rate applies for the full duration of the 51-week tenancy and will not change if the student's loan is subsequently reassessed.</w:t>
      </w:r>
    </w:p>
    <w:p>
      <w:pPr>
        <w:pStyle w:val="ListParagraph"/>
        <w:numPr>
          <w:ilvl w:val="0"/>
          <w:numId w:val="3"/>
        </w:numPr>
        <w:spacing w:after="60"/>
        <w:ind w:left="1080"/>
      </w:pPr>
      <w:r>
        <w:rPr>
          <w:rFonts w:ascii="Calibri" w:cs="Calibri" w:eastAsia="Calibri" w:hAnsi="Calibri"/>
          <w:sz w:val="21"/>
          <w:szCs w:val="21"/>
        </w:rPr>
        <w:t xml:space="preserve">Standard tenancy terms, rent payment schedules, and guarantor requirements apply as set out in Collegiate's standard tenancy agreement.</w:t>
      </w:r>
    </w:p>
    <w:p>
      <w:pPr>
        <w:pStyle w:val="ListParagraph"/>
        <w:numPr>
          <w:ilvl w:val="0"/>
          <w:numId w:val="3"/>
        </w:numPr>
        <w:spacing w:after="60"/>
        <w:ind w:left="1080"/>
      </w:pPr>
      <w:r>
        <w:rPr>
          <w:rFonts w:ascii="Calibri" w:cs="Calibri" w:eastAsia="Calibri" w:hAnsi="Calibri"/>
          <w:sz w:val="21"/>
          <w:szCs w:val="21"/>
        </w:rPr>
        <w:t xml:space="preserve">A booking is considered complete once the tenancy agreement has been fully signed by all required parties (including guarantor, where applicable) and the student has moved into their room.</w:t>
      </w:r>
    </w:p>
    <w:p>
      <w:pPr>
        <w:pStyle w:val="ListParagraph"/>
        <w:numPr>
          <w:ilvl w:val="0"/>
          <w:numId w:val="2"/>
        </w:numPr>
        <w:spacing w:after="100" w:before="180"/>
      </w:pPr>
      <w:r>
        <w:rPr>
          <w:rFonts w:ascii="Calibri" w:cs="Calibri" w:eastAsia="Calibri" w:hAnsi="Calibri"/>
          <w:b/>
          <w:bCs/>
          <w:sz w:val="21"/>
          <w:szCs w:val="21"/>
        </w:rPr>
        <w:t xml:space="preserve">Additional eligibility checks</w:t>
      </w:r>
    </w:p>
    <w:p>
      <w:pPr>
        <w:pStyle w:val="ListParagraph"/>
        <w:numPr>
          <w:ilvl w:val="0"/>
          <w:numId w:val="3"/>
        </w:numPr>
        <w:spacing w:after="60"/>
        <w:ind w:left="1080"/>
      </w:pPr>
      <w:r>
        <w:rPr>
          <w:rFonts w:ascii="Calibri" w:cs="Calibri" w:eastAsia="Calibri" w:hAnsi="Calibri"/>
          <w:sz w:val="21"/>
          <w:szCs w:val="21"/>
        </w:rPr>
        <w:t xml:space="preserve">Eligibility will be verified by the Operations Support team.</w:t>
      </w:r>
    </w:p>
    <w:p>
      <w:pPr>
        <w:pStyle w:val="ListParagraph"/>
        <w:numPr>
          <w:ilvl w:val="0"/>
          <w:numId w:val="3"/>
        </w:numPr>
        <w:spacing w:after="60"/>
        <w:ind w:left="1080"/>
      </w:pPr>
      <w:r>
        <w:rPr>
          <w:rFonts w:ascii="Calibri" w:cs="Calibri" w:eastAsia="Calibri" w:hAnsi="Calibri"/>
          <w:sz w:val="21"/>
          <w:szCs w:val="21"/>
        </w:rPr>
        <w:t xml:space="preserve">Collegiate reserves the right to request additional documentation in order to confirm eligibility.</w:t>
      </w:r>
    </w:p>
    <w:p>
      <w:pPr>
        <w:pStyle w:val="ListParagraph"/>
        <w:numPr>
          <w:ilvl w:val="0"/>
          <w:numId w:val="3"/>
        </w:numPr>
        <w:spacing w:after="60"/>
        <w:ind w:left="1080"/>
      </w:pPr>
      <w:r>
        <w:rPr>
          <w:rFonts w:ascii="Calibri" w:cs="Calibri" w:eastAsia="Calibri" w:hAnsi="Calibri"/>
          <w:sz w:val="21"/>
          <w:szCs w:val="21"/>
        </w:rPr>
        <w:t xml:space="preserve">If any proof is found to be inaccurate, incomplete, or falsified, Collegiate reserves the right to withdraw the affordable rate and apply the standard room rate, or to cancel the booking.</w:t>
      </w:r>
    </w:p>
    <w:p>
      <w:pPr>
        <w:pStyle w:val="ListParagraph"/>
        <w:numPr>
          <w:ilvl w:val="0"/>
          <w:numId w:val="3"/>
        </w:numPr>
        <w:spacing w:after="60"/>
        <w:ind w:left="1080"/>
      </w:pPr>
      <w:r>
        <w:rPr>
          <w:rFonts w:ascii="Calibri" w:cs="Calibri" w:eastAsia="Calibri" w:hAnsi="Calibri"/>
          <w:sz w:val="21"/>
          <w:szCs w:val="21"/>
        </w:rPr>
        <w:t xml:space="preserve">At the point of booking, the student's account must have no outstanding rent or other charges from any previous tenancy.</w:t>
      </w:r>
    </w:p>
    <w:p>
      <w:pPr>
        <w:pStyle w:val="ListParagraph"/>
        <w:numPr>
          <w:ilvl w:val="0"/>
          <w:numId w:val="2"/>
        </w:numPr>
        <w:spacing w:after="100" w:before="180"/>
      </w:pPr>
      <w:r>
        <w:rPr>
          <w:rFonts w:ascii="Calibri" w:cs="Calibri" w:eastAsia="Calibri" w:hAnsi="Calibri"/>
          <w:b/>
          <w:bCs/>
          <w:sz w:val="21"/>
          <w:szCs w:val="21"/>
        </w:rPr>
        <w:t xml:space="preserve">Important information</w:t>
      </w:r>
    </w:p>
    <w:p>
      <w:pPr>
        <w:pStyle w:val="ListParagraph"/>
        <w:numPr>
          <w:ilvl w:val="0"/>
          <w:numId w:val="3"/>
        </w:numPr>
        <w:spacing w:after="60"/>
        <w:ind w:left="1080"/>
      </w:pPr>
      <w:r>
        <w:rPr>
          <w:rFonts w:ascii="Calibri" w:cs="Calibri" w:eastAsia="Calibri" w:hAnsi="Calibri"/>
          <w:sz w:val="21"/>
          <w:szCs w:val="21"/>
        </w:rPr>
        <w:t xml:space="preserve">Only one affordable room per eligible student is permitted.</w:t>
      </w:r>
    </w:p>
    <w:p>
      <w:pPr>
        <w:pStyle w:val="ListParagraph"/>
        <w:numPr>
          <w:ilvl w:val="0"/>
          <w:numId w:val="3"/>
        </w:numPr>
        <w:spacing w:after="60"/>
        <w:ind w:left="1080"/>
      </w:pPr>
      <w:r>
        <w:rPr>
          <w:rFonts w:ascii="Calibri" w:cs="Calibri" w:eastAsia="Calibri" w:hAnsi="Calibri"/>
          <w:sz w:val="21"/>
          <w:szCs w:val="21"/>
        </w:rPr>
        <w:t xml:space="preserve">This offer cannot be combined with any other tenancy-specific offer or financial incentive unless explicitly stated.</w:t>
      </w:r>
    </w:p>
    <w:p>
      <w:pPr>
        <w:pStyle w:val="ListParagraph"/>
        <w:numPr>
          <w:ilvl w:val="0"/>
          <w:numId w:val="3"/>
        </w:numPr>
        <w:spacing w:after="60"/>
        <w:ind w:left="1080"/>
      </w:pPr>
      <w:r>
        <w:rPr>
          <w:rFonts w:ascii="Calibri" w:cs="Calibri" w:eastAsia="Calibri" w:hAnsi="Calibri"/>
          <w:sz w:val="21"/>
          <w:szCs w:val="21"/>
        </w:rPr>
        <w:t xml:space="preserve">The number of affordable rooms is limited; availability is first-come, first-served and subject to availability, and the offer may be withdrawn once all rooms are allocated.</w:t>
      </w:r>
    </w:p>
    <w:p>
      <w:pPr>
        <w:pStyle w:val="ListParagraph"/>
        <w:numPr>
          <w:ilvl w:val="0"/>
          <w:numId w:val="3"/>
        </w:numPr>
        <w:spacing w:after="60"/>
        <w:ind w:left="1080"/>
      </w:pPr>
      <w:r>
        <w:rPr>
          <w:rFonts w:ascii="Calibri" w:cs="Calibri" w:eastAsia="Calibri" w:hAnsi="Calibri"/>
          <w:sz w:val="21"/>
          <w:szCs w:val="21"/>
        </w:rPr>
        <w:t xml:space="preserve">If a booking is cancelled or the student does not move in, the affordable rate will no longer apply.</w:t>
      </w:r>
    </w:p>
    <w:p>
      <w:pPr>
        <w:spacing w:after="100" w:before="200"/>
      </w:pPr>
      <w:r>
        <w:rPr>
          <w:rFonts w:ascii="Calibri" w:cs="Calibri" w:eastAsia="Calibri" w:hAnsi="Calibri"/>
          <w:b/>
          <w:bCs/>
          <w:sz w:val="21"/>
          <w:szCs w:val="21"/>
        </w:rPr>
        <w:t xml:space="preserve">Data &amp; Privacy</w:t>
      </w:r>
    </w:p>
    <w:p>
      <w:pPr>
        <w:pStyle w:val="ListParagraph"/>
        <w:numPr>
          <w:ilvl w:val="0"/>
          <w:numId w:val="3"/>
        </w:numPr>
        <w:spacing w:after="60"/>
        <w:ind w:left="1080"/>
      </w:pPr>
      <w:r>
        <w:rPr>
          <w:rFonts w:ascii="Calibri" w:cs="Calibri" w:eastAsia="Calibri" w:hAnsi="Calibri"/>
          <w:sz w:val="21"/>
          <w:szCs w:val="21"/>
        </w:rPr>
        <w:t xml:space="preserve">Personal data, including financial evidence, will be processed in accordance with UK GDPR and Collegiate's </w:t>
      </w:r>
      <w:hyperlink w:history="1" r:id="rIdjqj3oflt0b8gupddycbrz">
        <w:r>
          <w:rPr>
            <w:rFonts w:ascii="Calibri" w:cs="Calibri" w:eastAsia="Calibri" w:hAnsi="Calibri"/>
            <w:color w:val="2E7D74"/>
            <w:sz w:val="21"/>
            <w:szCs w:val="21"/>
            <w:u w:val="single"/>
          </w:rPr>
          <w:t xml:space="preserve">Privacy Policy</w:t>
        </w:r>
      </w:hyperlink>
      <w:r>
        <w:rPr>
          <w:rFonts w:ascii="Calibri" w:cs="Calibri" w:eastAsia="Calibri" w:hAnsi="Calibri"/>
          <w:sz w:val="21"/>
          <w:szCs w:val="21"/>
        </w:rPr>
        <w:t xml:space="preserve">.</w:t>
      </w:r>
    </w:p>
    <w:p>
      <w:pPr>
        <w:pStyle w:val="ListParagraph"/>
        <w:numPr>
          <w:ilvl w:val="0"/>
          <w:numId w:val="3"/>
        </w:numPr>
        <w:spacing w:after="60"/>
        <w:ind w:left="1080"/>
      </w:pPr>
      <w:r>
        <w:rPr>
          <w:rFonts w:ascii="Calibri" w:cs="Calibri" w:eastAsia="Calibri" w:hAnsi="Calibri"/>
          <w:sz w:val="21"/>
          <w:szCs w:val="21"/>
        </w:rPr>
        <w:t xml:space="preserve">Data — including maintenance loan and grant documentation — will be used solely to verify eligibility, administer the booking, and apply the affordable rate.</w:t>
      </w:r>
    </w:p>
    <w:p>
      <w:pPr>
        <w:pStyle w:val="ListParagraph"/>
        <w:numPr>
          <w:ilvl w:val="0"/>
          <w:numId w:val="3"/>
        </w:numPr>
        <w:spacing w:after="60"/>
        <w:ind w:left="1080"/>
      </w:pPr>
      <w:r>
        <w:rPr>
          <w:rFonts w:ascii="Calibri" w:cs="Calibri" w:eastAsia="Calibri" w:hAnsi="Calibri"/>
          <w:sz w:val="21"/>
          <w:szCs w:val="21"/>
        </w:rPr>
        <w:t xml:space="preserve">Financial evidence will be handled securely and shared internally, and with approved third parties, only where necessary to verify eligibility and fulfil the offer.</w:t>
      </w:r>
    </w:p>
    <w:p>
      <w:pPr>
        <w:spacing w:after="100" w:before="200"/>
      </w:pPr>
      <w:r>
        <w:rPr>
          <w:rFonts w:ascii="Calibri" w:cs="Calibri" w:eastAsia="Calibri" w:hAnsi="Calibri"/>
          <w:b/>
          <w:bCs/>
          <w:sz w:val="21"/>
          <w:szCs w:val="21"/>
        </w:rPr>
        <w:t xml:space="preserve">General</w:t>
      </w:r>
    </w:p>
    <w:p>
      <w:pPr>
        <w:pStyle w:val="ListParagraph"/>
        <w:numPr>
          <w:ilvl w:val="0"/>
          <w:numId w:val="3"/>
        </w:numPr>
        <w:spacing w:after="60"/>
        <w:ind w:left="1080"/>
      </w:pPr>
      <w:r>
        <w:rPr>
          <w:rFonts w:ascii="Calibri" w:cs="Calibri" w:eastAsia="Calibri" w:hAnsi="Calibri"/>
          <w:sz w:val="21"/>
          <w:szCs w:val="21"/>
        </w:rPr>
        <w:t xml:space="preserve">This offer is managed by Collegiate AC Ltd (Reg No. 07619022) on behalf of the landlord.</w:t>
      </w:r>
    </w:p>
    <w:p>
      <w:pPr>
        <w:pStyle w:val="ListParagraph"/>
        <w:numPr>
          <w:ilvl w:val="0"/>
          <w:numId w:val="3"/>
        </w:numPr>
        <w:spacing w:after="60"/>
        <w:ind w:left="1080"/>
      </w:pPr>
      <w:r>
        <w:rPr>
          <w:rFonts w:ascii="Calibri" w:cs="Calibri" w:eastAsia="Calibri" w:hAnsi="Calibri"/>
          <w:sz w:val="21"/>
          <w:szCs w:val="21"/>
        </w:rPr>
        <w:t xml:space="preserve">Collegiate reserves the right to amend, suspend, or withdraw the offer at any time.</w:t>
      </w:r>
    </w:p>
    <w:p>
      <w:pPr>
        <w:pStyle w:val="ListParagraph"/>
        <w:numPr>
          <w:ilvl w:val="0"/>
          <w:numId w:val="3"/>
        </w:numPr>
        <w:spacing w:after="60"/>
        <w:ind w:left="1080"/>
      </w:pPr>
      <w:r>
        <w:rPr>
          <w:rFonts w:ascii="Calibri" w:cs="Calibri" w:eastAsia="Calibri" w:hAnsi="Calibri"/>
          <w:sz w:val="21"/>
          <w:szCs w:val="21"/>
        </w:rPr>
        <w:t xml:space="preserve">Collegiate's decision regarding eligibility is final.</w:t>
      </w:r>
    </w:p>
    <w:p>
      <w:pPr>
        <w:pStyle w:val="ListParagraph"/>
        <w:numPr>
          <w:ilvl w:val="0"/>
          <w:numId w:val="3"/>
        </w:numPr>
        <w:spacing w:after="60"/>
        <w:ind w:left="1080"/>
      </w:pPr>
      <w:r>
        <w:rPr>
          <w:rFonts w:ascii="Calibri" w:cs="Calibri" w:eastAsia="Calibri" w:hAnsi="Calibri"/>
          <w:sz w:val="21"/>
          <w:szCs w:val="21"/>
        </w:rPr>
        <w:t xml:space="preserve">In case of change of property management during the course of the academic year, the new property operating company will take over the offer obligations on the handover date and will be liable to honour the affordable rate agreed with students who have booked under these terms and conditions.</w:t>
      </w:r>
    </w:p>
    <w:p>
      <w:pPr>
        <w:pStyle w:val="ListParagraph"/>
        <w:numPr>
          <w:ilvl w:val="0"/>
          <w:numId w:val="3"/>
        </w:numPr>
        <w:spacing w:after="60"/>
        <w:ind w:left="1080"/>
      </w:pPr>
      <w:r>
        <w:rPr>
          <w:rFonts w:ascii="Calibri" w:cs="Calibri" w:eastAsia="Calibri" w:hAnsi="Calibri"/>
          <w:sz w:val="21"/>
          <w:szCs w:val="21"/>
        </w:rPr>
        <w:t xml:space="preserve">These Terms &amp; Conditions are governed by the laws of England &amp; Wales.</w:t>
      </w:r>
    </w:p>
    <w:p>
      <w:pPr>
        <w:spacing w:after="0"/>
      </w:pPr>
      <w:r>
        <w:rPr>
          <w:rFonts w:ascii="Calibri" w:cs="Calibri" w:eastAsia="Calibri" w:hAnsi="Calibri"/>
          <w:sz w:val="21"/>
          <w:szCs w:val="21"/>
        </w:rPr>
        <w:t xml:space="preserve">For any questions regarding this offer or these Terms &amp; Conditions, please contact our Operations Support team at </w:t>
      </w:r>
      <w:hyperlink w:history="1" r:id="rIdq6sbz_indlqqay4if7tp1">
        <w:r>
          <w:rPr>
            <w:rFonts w:ascii="Calibri" w:cs="Calibri" w:eastAsia="Calibri" w:hAnsi="Calibri"/>
            <w:color w:val="2E7D74"/>
            <w:sz w:val="21"/>
            <w:szCs w:val="21"/>
            <w:u w:val="single"/>
          </w:rPr>
          <w:t xml:space="preserve">operations@collegiate-ac.com</w:t>
        </w:r>
      </w:hyperlink>
      <w:r>
        <w:rPr>
          <w:rFonts w:ascii="Calibri" w:cs="Calibri" w:eastAsia="Calibri" w:hAnsi="Calibri"/>
          <w:sz w:val="21"/>
          <w:szCs w:val="21"/>
        </w:rPr>
        <w:t xml:space="preserve">.</w:t>
      </w:r>
    </w:p>
    <w:sectPr>
      <w:footerReference w:type="default" r:id="rId7"/>
      <w:pgSz w:w="11906" w:h="16838"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026"/>
      </w:tabs>
    </w:pPr>
    <w:r>
      <w:rPr>
        <w:rFonts w:ascii="Calibri" w:cs="Calibri" w:eastAsia="Calibri" w:hAnsi="Calibri"/>
        <w:color w:val="595959"/>
        <w:sz w:val="16"/>
        <w:szCs w:val="16"/>
      </w:rPr>
      <w:t xml:space="preserve">Collegiate AC Ltd.  |  Registered in England No. 07619022</w:t>
    </w:r>
    <w:r>
      <w:rPr>
        <w:sz w:val="16"/>
        <w:szCs w:val="16"/>
      </w:rPr>
      <w:t xml:space="preserve">	</w:t>
    </w:r>
    <w:r>
      <w:rPr>
        <w:rFonts w:ascii="Calibri" w:cs="Calibri" w:eastAsia="Calibri" w:hAnsi="Calibri"/>
        <w:b/>
        <w:bCs/>
        <w:color w:val="1A1A1A"/>
        <w:sz w:val="18"/>
        <w:szCs w:val="18"/>
      </w:rPr>
      <w:t xml:space="preserve">COLLEGIATE </w:t>
    </w:r>
    <w:r>
      <w:rPr>
        <w:rFonts w:ascii="Calibri" w:cs="Calibri" w:eastAsia="Calibri" w:hAnsi="Calibri"/>
        <w:i/>
        <w:iCs/>
        <w:color w:val="1A1A1A"/>
        <w:sz w:val="18"/>
        <w:szCs w:val="18"/>
      </w:rPr>
      <w:t xml:space="preserve">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abstractNum w:abstractNumId="3" w15:restartNumberingAfterBreak="0">
    <w:multiLevelType w:val="hybridMultilevel"/>
    <w:lvl w:ilvl="0" w15:tentative="1">
      <w:start w:val="1"/>
      <w:numFmt w:val="bullet"/>
      <w:lvlText w:val="o"/>
      <w:lvlJc w:val="start"/>
      <w:pPr>
        <w:ind w:left="1080" w:hanging="260"/>
      </w:pPr>
      <w:rPr>
        <w:rFonts w:ascii="Courier New" w:cs="Courier New" w:eastAsia="Courier New" w:hAnsi="Courier New"/>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djc0nojkr1a5uewhk-dsk" Type="http://schemas.openxmlformats.org/officeDocument/2006/relationships/hyperlink" Target="mailto:operations@collegiate-ac.com" TargetMode="External"/><Relationship Id="rIdqvqnn4ohwkaeus-4pq72a" Type="http://schemas.openxmlformats.org/officeDocument/2006/relationships/hyperlink" Target="mailto:operations@collegiate-ac.com" TargetMode="External"/><Relationship Id="rIdjqj3oflt0b8gupddycbrz" Type="http://schemas.openxmlformats.org/officeDocument/2006/relationships/hyperlink" Target="https://www.collegiate-ac.com/privacy-policy/" TargetMode="External"/><Relationship Id="rIdq6sbz_indlqqay4if7tp1" Type="http://schemas.openxmlformats.org/officeDocument/2006/relationships/hyperlink" Target="mailto:operations@collegiate-ac.com"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2026-08-24T17:46:32.296Z</dcterms:created>
  <dcterms:modified xsi:type="dcterms:W3CDTF">2026-08-24T17:46:32.310Z</dcterms:modified>
</cp:coreProperties>
</file>

<file path=docProps/custom.xml><?xml version="1.0" encoding="utf-8"?>
<Properties xmlns="http://schemas.openxmlformats.org/officeDocument/2006/custom-properties" xmlns:vt="http://schemas.openxmlformats.org/officeDocument/2006/docPropsVTypes"/>
</file>